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2019 18 vom 14. Juli 2020</w:t>
      </w:r>
    </w:p>
    <w:p>
      <w:r>
        <w:t>GR Gerichte, 2020-07-14, DE</w:t>
      </w:r>
    </w:p>
    <w:p>
      <w:r>
        <w:rPr>
          <w:b/>
        </w:rPr>
        <w:t xml:space="preserve">Quelle: </w:t>
      </w:r>
      <w:r>
        <w:t>https://mcp.opencaselaw.ch/entscheid/gr_gerichte_S 2019 18</w:t>
      </w:r>
    </w:p>
    <w:p>
      <w:r>
        <w:t>FR: GR_GERICHTE S 2019 18 du 14 juillet 2020</w:t>
      </w:r>
    </w:p>
    <w:p>
      <w:r>
        <w:t>IT: GR_GERICHTE S 2019 18 del 14 luglio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Organe der Arbeitslosenversicherung und die Gerichte können über die Frage der Arbeitsberechtigung selbständig urteilen, wenn die zuständige Behörde noch nicht (rechtskräftig) entschieden hat (BGE 120 V 378). Die</w:t>
      </w:r>
    </w:p>
    <w:p>
      <w:r>
        <w:t>- 11 - Verweigerung der ALE mangels Vermittlungsfähigkeit ab dem 27. August 2018 ist folglich nicht zu beanstanden. Der Einspracheentscheid des Be- schwerdegegners ist zu Recht ergangen. Die Beschwerde ist daher abzu- weisen.</w:t>
      </w:r>
    </w:p>
    <w:p>
      <w:r>
        <w:rPr>
          <w:b/>
        </w:rPr>
        <w:t>E. 4</w:t>
      </w:r>
    </w:p>
    <w:p>
      <w:r>
        <w:t>Gemäss Art. 61 lit. a ATSG muss das kantonale Beschwerdeverfahren in Sozialversicherungssachen für die Parteien – ausser bei mutwilliger oder leichtsinniger Prozessführung – kostenlos sein, weshalb für das vorlie- gende Verfahren keine Kosten erhoben werden. Dem obsiegenden Be- schwerdegegner steht kein Anspruch auf Ersatz der Parteikosten zu (vgl. Art. 61 lit. g ATSG).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